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B3C9" w14:textId="20785256" w:rsidR="00F269E2" w:rsidRPr="00B61DDF" w:rsidRDefault="00F269E2" w:rsidP="00F269E2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B61DDF">
        <w:rPr>
          <w:rFonts w:cs="Times New Roman"/>
          <w:b/>
        </w:rPr>
        <w:t xml:space="preserve">Estratto dal verbale della riunione </w:t>
      </w:r>
      <w:r w:rsidR="00B61DDF">
        <w:rPr>
          <w:rFonts w:cs="Times New Roman"/>
          <w:b/>
        </w:rPr>
        <w:t xml:space="preserve">telematica </w:t>
      </w:r>
      <w:r w:rsidRPr="00B61DDF">
        <w:rPr>
          <w:rFonts w:cs="Times New Roman"/>
          <w:b/>
        </w:rPr>
        <w:t xml:space="preserve">della Commissione Paritetica del giorno </w:t>
      </w:r>
      <w:r w:rsidR="00B61DDF">
        <w:rPr>
          <w:rFonts w:cs="Times New Roman"/>
          <w:b/>
        </w:rPr>
        <w:t>13/4</w:t>
      </w:r>
      <w:r w:rsidRPr="00B61DDF">
        <w:rPr>
          <w:rFonts w:cs="Times New Roman"/>
          <w:b/>
        </w:rPr>
        <w:t>/2016</w:t>
      </w:r>
    </w:p>
    <w:p w14:paraId="076033B6" w14:textId="77777777" w:rsidR="00F269E2" w:rsidRPr="00B61DDF" w:rsidRDefault="00F269E2" w:rsidP="00F269E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0AC932E" w14:textId="77777777" w:rsidR="00F269E2" w:rsidRPr="00B61DDF" w:rsidRDefault="00F269E2" w:rsidP="00F269E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61DDF">
        <w:rPr>
          <w:rFonts w:cs="Times New Roman"/>
        </w:rPr>
        <w:t>...</w:t>
      </w:r>
    </w:p>
    <w:p w14:paraId="3D3D4121" w14:textId="77777777" w:rsidR="00F81E81" w:rsidRPr="00B61DDF" w:rsidRDefault="00F81E81" w:rsidP="00F81E81"/>
    <w:p w14:paraId="71F875F0" w14:textId="77777777" w:rsidR="00F81E81" w:rsidRPr="00B61DDF" w:rsidRDefault="00F81E81" w:rsidP="00F81E81">
      <w:r w:rsidRPr="00B61DDF">
        <w:t xml:space="preserve">1) Parere obbligatorio e vincolante sulla delibera di spesa per attività formative complementari. </w:t>
      </w:r>
    </w:p>
    <w:p w14:paraId="63D1680E" w14:textId="77777777" w:rsidR="00F81E81" w:rsidRPr="00B61DDF" w:rsidRDefault="00F81E81" w:rsidP="00F81E81"/>
    <w:p w14:paraId="7391C244" w14:textId="77777777" w:rsidR="00F81E81" w:rsidRPr="00B61DDF" w:rsidRDefault="00F81E81" w:rsidP="00F81E81">
      <w:r w:rsidRPr="00B61DDF">
        <w:t xml:space="preserve">Tenuto conto della delibera del </w:t>
      </w:r>
      <w:proofErr w:type="spellStart"/>
      <w:r w:rsidRPr="00B61DDF">
        <w:t>CdA</w:t>
      </w:r>
      <w:proofErr w:type="spellEnd"/>
      <w:r w:rsidRPr="00B61DDF">
        <w:t xml:space="preserve"> del 1/4/2016 che nell'articolo 1 comma B1 specifica che </w:t>
      </w:r>
    </w:p>
    <w:p w14:paraId="39D69B19" w14:textId="77777777" w:rsidR="00F81E81" w:rsidRPr="00B61DDF" w:rsidRDefault="00F81E81" w:rsidP="00F81E81"/>
    <w:p w14:paraId="7908D33D" w14:textId="77777777" w:rsidR="00F81E81" w:rsidRPr="00B61DDF" w:rsidRDefault="00F81E81" w:rsidP="00F81E81">
      <w:r w:rsidRPr="00B61DDF">
        <w:t xml:space="preserve">"Il budget per i servizi agli studenti è utilizzato, acquisito il parere della Commissione paritetica docenti-studenti, per le seguenti finalità: </w:t>
      </w:r>
    </w:p>
    <w:p w14:paraId="629CBE19" w14:textId="77777777" w:rsidR="00F81E81" w:rsidRPr="00B61DDF" w:rsidRDefault="00F81E81" w:rsidP="00F81E81">
      <w:r w:rsidRPr="00B61DDF"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3235B780" w14:textId="77777777" w:rsidR="00F81E81" w:rsidRPr="00B61DDF" w:rsidRDefault="00F81E81" w:rsidP="00F81E81"/>
    <w:p w14:paraId="51CD6AFD" w14:textId="77777777" w:rsidR="00F81E81" w:rsidRPr="00B61DDF" w:rsidRDefault="00F81E81" w:rsidP="00F81E81">
      <w:r w:rsidRPr="00B61DDF">
        <w:t xml:space="preserve">la Commissione Paritetica ha esaminato le voci di spesa proposte e riportate in allegato. </w:t>
      </w:r>
    </w:p>
    <w:p w14:paraId="508E3C4F" w14:textId="77777777" w:rsidR="00F81E81" w:rsidRPr="00B61DDF" w:rsidRDefault="00F81E81" w:rsidP="00F81E81">
      <w:bookmarkStart w:id="0" w:name="_GoBack"/>
      <w:bookmarkEnd w:id="0"/>
    </w:p>
    <w:p w14:paraId="7BAC78B7" w14:textId="77777777" w:rsidR="00F81E81" w:rsidRPr="00B61DDF" w:rsidRDefault="00F81E81" w:rsidP="00F81E81">
      <w:pPr>
        <w:rPr>
          <w:b/>
        </w:rPr>
      </w:pPr>
      <w:r w:rsidRPr="00B61DDF">
        <w:rPr>
          <w:b/>
        </w:rPr>
        <w:t>Tenuto conto delle specifiche caratteristiche dei corsi</w:t>
      </w:r>
      <w:r w:rsidR="00DF2DF3" w:rsidRPr="00B61DDF">
        <w:rPr>
          <w:b/>
        </w:rPr>
        <w:t xml:space="preserve"> e avendo verificato il fatto che la spesa complessiva rispetta il limite del 50% del budget assegnato – come da comunicazione del Direttore di Dipartimento nel </w:t>
      </w:r>
      <w:proofErr w:type="spellStart"/>
      <w:r w:rsidR="00DF2DF3" w:rsidRPr="00B61DDF">
        <w:rPr>
          <w:b/>
        </w:rPr>
        <w:t>CdD</w:t>
      </w:r>
      <w:proofErr w:type="spellEnd"/>
      <w:r w:rsidR="00DF2DF3" w:rsidRPr="00B61DDF">
        <w:rPr>
          <w:b/>
        </w:rPr>
        <w:t xml:space="preserve"> 66 del giorno 11/3/2016 –</w:t>
      </w:r>
      <w:r w:rsidRPr="00B61DDF">
        <w:rPr>
          <w:b/>
        </w:rPr>
        <w:t xml:space="preserve"> la </w:t>
      </w:r>
      <w:r w:rsidRPr="00B61DDF">
        <w:rPr>
          <w:b/>
        </w:rPr>
        <w:t xml:space="preserve">Commissione Paritetica esprime </w:t>
      </w:r>
      <w:r w:rsidRPr="00B61DDF">
        <w:rPr>
          <w:b/>
        </w:rPr>
        <w:t xml:space="preserve">unanime parere positivo. </w:t>
      </w:r>
    </w:p>
    <w:p w14:paraId="229FF267" w14:textId="77777777" w:rsidR="00F81E81" w:rsidRPr="00B61DDF" w:rsidRDefault="00F81E81" w:rsidP="00F81E81"/>
    <w:p w14:paraId="6D231EE0" w14:textId="77777777" w:rsidR="00F81E81" w:rsidRPr="00B61DDF" w:rsidRDefault="00F81E81" w:rsidP="00F81E81">
      <w:r w:rsidRPr="00B61DDF">
        <w:t>La riunione telematica si chiude alle ore 12.00.</w:t>
      </w:r>
    </w:p>
    <w:p w14:paraId="77645FD2" w14:textId="77777777" w:rsidR="00F72DAA" w:rsidRPr="00B61DDF" w:rsidRDefault="00B61DDF"/>
    <w:p w14:paraId="60BD0395" w14:textId="77777777" w:rsidR="00F81E81" w:rsidRPr="00B61DDF" w:rsidRDefault="00F81E81"/>
    <w:p w14:paraId="4E3F548D" w14:textId="77777777" w:rsidR="00F81E81" w:rsidRPr="00B61DDF" w:rsidRDefault="00F81E81">
      <w:pPr>
        <w:rPr>
          <w:b/>
          <w:i/>
        </w:rPr>
      </w:pPr>
      <w:r w:rsidRPr="00B61DDF">
        <w:rPr>
          <w:b/>
          <w:i/>
        </w:rPr>
        <w:t>Allegato: lista delle attività formative complementari e relativi costi</w:t>
      </w:r>
    </w:p>
    <w:p w14:paraId="6E9B94DD" w14:textId="77777777" w:rsidR="00F81E81" w:rsidRPr="00B61DDF" w:rsidRDefault="00F81E81" w:rsidP="00F81E81">
      <w:pPr>
        <w:widowControl w:val="0"/>
        <w:autoSpaceDE w:val="0"/>
        <w:autoSpaceDN w:val="0"/>
        <w:adjustRightInd w:val="0"/>
        <w:rPr>
          <w:rFonts w:cs="Arial"/>
          <w:sz w:val="20"/>
          <w:szCs w:val="32"/>
          <w:lang w:val="en-US"/>
        </w:rPr>
      </w:pPr>
      <w:r w:rsidRPr="00B61DDF">
        <w:rPr>
          <w:rFonts w:cs="Times"/>
          <w:sz w:val="32"/>
          <w:szCs w:val="32"/>
          <w:lang w:val="en-US"/>
        </w:rPr>
        <w:t> </w:t>
      </w:r>
    </w:p>
    <w:tbl>
      <w:tblPr>
        <w:tblW w:w="9124" w:type="dxa"/>
        <w:tblInd w:w="-121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94"/>
        <w:gridCol w:w="4152"/>
        <w:gridCol w:w="674"/>
        <w:gridCol w:w="1217"/>
        <w:gridCol w:w="1987"/>
      </w:tblGrid>
      <w:tr w:rsidR="000A15F1" w:rsidRPr="00B61DDF" w14:paraId="1C1F5D40" w14:textId="77777777" w:rsidTr="000A15F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AAD4D9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Docente</w:t>
            </w:r>
            <w:proofErr w:type="spellEnd"/>
          </w:p>
        </w:tc>
        <w:tc>
          <w:tcPr>
            <w:tcW w:w="41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B47EB1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Insegnamento</w:t>
            </w:r>
            <w:proofErr w:type="spellEnd"/>
          </w:p>
        </w:tc>
        <w:tc>
          <w:tcPr>
            <w:tcW w:w="67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6D41CA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Ore</w:t>
            </w:r>
          </w:p>
        </w:tc>
        <w:tc>
          <w:tcPr>
            <w:tcW w:w="121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81B507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Semestre</w:t>
            </w:r>
            <w:proofErr w:type="spellEnd"/>
          </w:p>
        </w:tc>
        <w:tc>
          <w:tcPr>
            <w:tcW w:w="198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0AB4CC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Costo</w:t>
            </w:r>
            <w:proofErr w:type="spellEnd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totale</w:t>
            </w:r>
            <w:proofErr w:type="spellEnd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(€) </w:t>
            </w:r>
          </w:p>
          <w:p w14:paraId="02C6B521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lordo</w:t>
            </w:r>
            <w:proofErr w:type="spellEnd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struttura</w:t>
            </w:r>
            <w:proofErr w:type="spellEnd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(</w:t>
            </w:r>
            <w:proofErr w:type="spellStart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presumibile</w:t>
            </w:r>
            <w:proofErr w:type="spellEnd"/>
            <w:r w:rsidRPr="00B61DDF">
              <w:rPr>
                <w:rFonts w:cs="Times New Roman"/>
                <w:b/>
                <w:bCs/>
                <w:sz w:val="20"/>
                <w:szCs w:val="32"/>
                <w:lang w:val="en-US"/>
              </w:rPr>
              <w:t>)</w:t>
            </w:r>
          </w:p>
        </w:tc>
      </w:tr>
      <w:tr w:rsidR="000A15F1" w:rsidRPr="00B61DDF" w14:paraId="512DFD6D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4924CF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Baraldi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1611C2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Fisica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della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Materia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B4235B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20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BD38C4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37A7D1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  534,00</w:t>
            </w:r>
          </w:p>
        </w:tc>
      </w:tr>
      <w:tr w:rsidR="000A15F1" w:rsidRPr="00B61DDF" w14:paraId="00727467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602C37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Bressan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8D3038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I</w:t>
            </w:r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7FA01A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100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2DAB0F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083F55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2.670,00</w:t>
            </w:r>
          </w:p>
        </w:tc>
      </w:tr>
      <w:tr w:rsidR="000A15F1" w:rsidRPr="00B61DDF" w14:paraId="6C590F45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1E842B3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Girardi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53981C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tecnologie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astronomiche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FF2943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25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DEC6EF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F827F44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667,00</w:t>
            </w:r>
          </w:p>
        </w:tc>
      </w:tr>
      <w:tr w:rsidR="000A15F1" w:rsidRPr="00B61DDF" w14:paraId="7345BB06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ABB36B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Parmigiani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ED255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Elettrodinamica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,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Ottica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e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Relatività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A7E523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30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0E5CE2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0E3CF8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801,00</w:t>
            </w:r>
          </w:p>
        </w:tc>
      </w:tr>
      <w:tr w:rsidR="000A15F1" w:rsidRPr="00B61DDF" w14:paraId="08376B29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24D994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Pastore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BBDB1C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Calcolo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D17A92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70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57EBC3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FC7592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1.870,00</w:t>
            </w:r>
          </w:p>
        </w:tc>
      </w:tr>
      <w:tr w:rsidR="000A15F1" w:rsidRPr="00B61DDF" w14:paraId="20FC4263" w14:textId="77777777" w:rsidTr="000A15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16C6F4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Peressi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DB6E48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Fisica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Computazionale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22B2BA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15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2F32B4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B918E0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401,00</w:t>
            </w:r>
          </w:p>
        </w:tc>
      </w:tr>
      <w:tr w:rsidR="000A15F1" w:rsidRPr="00B61DDF" w14:paraId="625D48D1" w14:textId="77777777" w:rsidTr="000A15F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88B90DB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Rui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40E092" w14:textId="77777777" w:rsidR="00F81E81" w:rsidRPr="00B61DDF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Acquisizione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e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Controllo</w:t>
            </w:r>
            <w:proofErr w:type="spellEnd"/>
            <w:r w:rsidRPr="00B61DDF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B61DDF">
              <w:rPr>
                <w:rFonts w:cs="Times New Roman"/>
                <w:sz w:val="20"/>
                <w:szCs w:val="32"/>
                <w:lang w:val="en-US"/>
              </w:rPr>
              <w:t>Dati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F43806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30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16291A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33AC14" w14:textId="77777777" w:rsidR="00F81E81" w:rsidRPr="00B61DDF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B61DDF">
              <w:rPr>
                <w:rFonts w:cs="Times New Roman"/>
                <w:sz w:val="20"/>
                <w:szCs w:val="32"/>
                <w:lang w:val="en-US"/>
              </w:rPr>
              <w:t>801,00</w:t>
            </w:r>
          </w:p>
        </w:tc>
      </w:tr>
    </w:tbl>
    <w:p w14:paraId="1C4AF528" w14:textId="77777777" w:rsidR="00B61DDF" w:rsidRPr="00B61DDF" w:rsidRDefault="00B61DDF" w:rsidP="00B61DD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2ABB542" w14:textId="77777777" w:rsidR="00B61DDF" w:rsidRPr="00B61DDF" w:rsidRDefault="00B61DDF" w:rsidP="00B61DDF">
      <w:pPr>
        <w:jc w:val="both"/>
        <w:rPr>
          <w:rFonts w:cs="Times New Roman"/>
        </w:rPr>
      </w:pPr>
      <w:r w:rsidRPr="00B61DDF">
        <w:rPr>
          <w:rFonts w:cs="Times New Roman"/>
        </w:rPr>
        <w:t xml:space="preserve">... </w:t>
      </w:r>
    </w:p>
    <w:p w14:paraId="10556186" w14:textId="77777777" w:rsidR="00B61DDF" w:rsidRDefault="00B61DDF" w:rsidP="00B61DDF">
      <w:pPr>
        <w:jc w:val="both"/>
        <w:rPr>
          <w:rFonts w:cs="Times New Roman"/>
        </w:rPr>
      </w:pPr>
    </w:p>
    <w:p w14:paraId="558EF97B" w14:textId="77777777" w:rsidR="00B61DDF" w:rsidRDefault="00B61DDF" w:rsidP="00B61DDF">
      <w:pPr>
        <w:jc w:val="both"/>
        <w:rPr>
          <w:rFonts w:cs="Times New Roman"/>
        </w:rPr>
      </w:pPr>
    </w:p>
    <w:p w14:paraId="3F12F6B3" w14:textId="77777777" w:rsidR="00B61DDF" w:rsidRPr="00B61DDF" w:rsidRDefault="00B61DDF" w:rsidP="00B61DDF">
      <w:pPr>
        <w:jc w:val="both"/>
        <w:rPr>
          <w:rFonts w:cs="Times New Roman"/>
        </w:rPr>
      </w:pPr>
    </w:p>
    <w:p w14:paraId="368AFC2B" w14:textId="77777777" w:rsidR="00B61DDF" w:rsidRPr="00B61DDF" w:rsidRDefault="00B61DDF" w:rsidP="00B61DDF">
      <w:pPr>
        <w:jc w:val="both"/>
        <w:rPr>
          <w:rFonts w:cs="Times New Roman"/>
        </w:rPr>
      </w:pP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  <w:t>Il Segretario della Commissione Paritetica</w:t>
      </w:r>
    </w:p>
    <w:p w14:paraId="4EF526CE" w14:textId="6905D652" w:rsidR="00B61DDF" w:rsidRPr="00B61DDF" w:rsidRDefault="00B61DDF" w:rsidP="00B61DDF">
      <w:pPr>
        <w:jc w:val="both"/>
        <w:rPr>
          <w:rFonts w:cs="Times New Roman"/>
        </w:rPr>
      </w:pP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</w:r>
      <w:r w:rsidRPr="00B61DDF">
        <w:rPr>
          <w:rFonts w:cs="Times New Roman"/>
        </w:rPr>
        <w:tab/>
        <w:t>(Prof. Edoardo Milotti)</w:t>
      </w:r>
    </w:p>
    <w:sectPr w:rsidR="00B61DDF" w:rsidRPr="00B61DDF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2738FB"/>
    <w:rsid w:val="00301B32"/>
    <w:rsid w:val="00370788"/>
    <w:rsid w:val="0050333E"/>
    <w:rsid w:val="006B19DD"/>
    <w:rsid w:val="00A750C1"/>
    <w:rsid w:val="00B61DDF"/>
    <w:rsid w:val="00C34479"/>
    <w:rsid w:val="00DF2DF3"/>
    <w:rsid w:val="00F06555"/>
    <w:rsid w:val="00F269E2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2</cp:revision>
  <cp:lastPrinted>2016-04-12T17:19:00Z</cp:lastPrinted>
  <dcterms:created xsi:type="dcterms:W3CDTF">2016-04-13T05:27:00Z</dcterms:created>
  <dcterms:modified xsi:type="dcterms:W3CDTF">2016-04-13T05:27:00Z</dcterms:modified>
</cp:coreProperties>
</file>