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21AB" w14:textId="132A70A4" w:rsidR="00F81E81" w:rsidRPr="004F2471" w:rsidRDefault="00C85B7D" w:rsidP="00F81E81">
      <w:pPr>
        <w:rPr>
          <w:b/>
          <w:lang w:val="it-IT"/>
        </w:rPr>
      </w:pPr>
      <w:r w:rsidRPr="004F2471">
        <w:rPr>
          <w:b/>
          <w:lang w:val="it-IT"/>
        </w:rPr>
        <w:t>Estratto dal verbale della r</w:t>
      </w:r>
      <w:r w:rsidR="00F81E81" w:rsidRPr="004F2471">
        <w:rPr>
          <w:b/>
          <w:lang w:val="it-IT"/>
        </w:rPr>
        <w:t xml:space="preserve">iunione della Commissione </w:t>
      </w:r>
      <w:r w:rsidR="00B05BFC" w:rsidRPr="004F2471">
        <w:rPr>
          <w:b/>
          <w:lang w:val="it-IT"/>
        </w:rPr>
        <w:t xml:space="preserve">Paritetica Docenti Studenti - </w:t>
      </w:r>
      <w:r w:rsidR="00582A24">
        <w:rPr>
          <w:b/>
          <w:lang w:val="it-IT"/>
        </w:rPr>
        <w:t>14</w:t>
      </w:r>
      <w:r w:rsidR="00162284">
        <w:rPr>
          <w:b/>
          <w:lang w:val="it-IT"/>
        </w:rPr>
        <w:t>/9</w:t>
      </w:r>
      <w:r w:rsidR="00582A24">
        <w:rPr>
          <w:b/>
          <w:lang w:val="it-IT"/>
        </w:rPr>
        <w:t>/2018</w:t>
      </w:r>
    </w:p>
    <w:p w14:paraId="4EE08B44" w14:textId="77777777" w:rsidR="00F81E81" w:rsidRPr="004F2471" w:rsidRDefault="00F81E81" w:rsidP="00F81E81">
      <w:pPr>
        <w:rPr>
          <w:lang w:val="it-IT"/>
        </w:rPr>
      </w:pPr>
    </w:p>
    <w:p w14:paraId="4A0F04F0" w14:textId="18E0A1D0" w:rsidR="00F81E81" w:rsidRPr="004F2471" w:rsidRDefault="00C85B7D" w:rsidP="00F81E81">
      <w:pPr>
        <w:rPr>
          <w:lang w:val="it-IT"/>
        </w:rPr>
      </w:pPr>
      <w:r w:rsidRPr="004F2471">
        <w:rPr>
          <w:lang w:val="it-IT"/>
        </w:rPr>
        <w:t>...</w:t>
      </w:r>
    </w:p>
    <w:p w14:paraId="3D3D4121" w14:textId="77777777" w:rsidR="00F81E81" w:rsidRPr="004F2471" w:rsidRDefault="00F81E81" w:rsidP="00F81E81">
      <w:pPr>
        <w:rPr>
          <w:lang w:val="it-IT"/>
        </w:rPr>
      </w:pPr>
    </w:p>
    <w:p w14:paraId="084C4F20" w14:textId="77777777" w:rsidR="0034448C" w:rsidRPr="0034448C" w:rsidRDefault="0034448C" w:rsidP="0034448C">
      <w:pPr>
        <w:rPr>
          <w:lang w:val="it-IT"/>
        </w:rPr>
      </w:pPr>
      <w:r w:rsidRPr="0034448C">
        <w:rPr>
          <w:lang w:val="it-IT"/>
        </w:rPr>
        <w:t xml:space="preserve">2) Parere obbligatorio e vincolante sulla delibera di spesa per attività formative complementari. </w:t>
      </w:r>
    </w:p>
    <w:p w14:paraId="72842BBB" w14:textId="77777777" w:rsidR="0034448C" w:rsidRPr="0034448C" w:rsidRDefault="0034448C" w:rsidP="0034448C">
      <w:pPr>
        <w:rPr>
          <w:lang w:val="it-IT"/>
        </w:rPr>
      </w:pPr>
    </w:p>
    <w:p w14:paraId="70D71F2F" w14:textId="77777777" w:rsidR="00025F9D" w:rsidRPr="00025F9D" w:rsidRDefault="00025F9D" w:rsidP="00025F9D">
      <w:pPr>
        <w:rPr>
          <w:lang w:val="it-IT"/>
        </w:rPr>
      </w:pPr>
      <w:r w:rsidRPr="00025F9D">
        <w:rPr>
          <w:lang w:val="it-IT"/>
        </w:rPr>
        <w:t xml:space="preserve">Tenuto conto della delibera del CdA del 1/4/2016 che nell'articolo 1 comma B1 specifica che </w:t>
      </w:r>
    </w:p>
    <w:p w14:paraId="07D43BFF" w14:textId="77777777" w:rsidR="00025F9D" w:rsidRPr="00025F9D" w:rsidRDefault="00025F9D" w:rsidP="00025F9D">
      <w:pPr>
        <w:rPr>
          <w:lang w:val="it-IT"/>
        </w:rPr>
      </w:pPr>
    </w:p>
    <w:p w14:paraId="740E6B18" w14:textId="77777777" w:rsidR="00025F9D" w:rsidRPr="00025F9D" w:rsidRDefault="00025F9D" w:rsidP="00025F9D">
      <w:pPr>
        <w:rPr>
          <w:lang w:val="it-IT"/>
        </w:rPr>
      </w:pPr>
      <w:r w:rsidRPr="00025F9D">
        <w:rPr>
          <w:lang w:val="it-IT"/>
        </w:rPr>
        <w:t xml:space="preserve">"Il budget per i servizi agli studenti è utilizzato, acquisito il parere della Commissione paritetica docenti-studenti, per le seguenti finalità: </w:t>
      </w:r>
    </w:p>
    <w:p w14:paraId="682F602B" w14:textId="77777777" w:rsidR="00025F9D" w:rsidRPr="00025F9D" w:rsidRDefault="00025F9D" w:rsidP="00025F9D">
      <w:pPr>
        <w:rPr>
          <w:lang w:val="it-IT"/>
        </w:rPr>
      </w:pPr>
      <w:r w:rsidRPr="00025F9D">
        <w:rPr>
          <w:lang w:val="it-IT"/>
        </w:rPr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7C89338D" w14:textId="77777777" w:rsidR="00025F9D" w:rsidRPr="00025F9D" w:rsidRDefault="00025F9D" w:rsidP="00025F9D">
      <w:pPr>
        <w:rPr>
          <w:lang w:val="it-IT"/>
        </w:rPr>
      </w:pPr>
    </w:p>
    <w:p w14:paraId="368B9193" w14:textId="77777777" w:rsidR="00025F9D" w:rsidRPr="00025F9D" w:rsidRDefault="00025F9D" w:rsidP="00025F9D">
      <w:pPr>
        <w:rPr>
          <w:lang w:val="it-IT"/>
        </w:rPr>
      </w:pPr>
      <w:r w:rsidRPr="00025F9D">
        <w:rPr>
          <w:lang w:val="it-IT"/>
        </w:rPr>
        <w:t xml:space="preserve">la Commissione Paritetica ha esaminato le voci di spesa proposte per l'A.A. 2018-2019 e la documentazione riportata in allegato. </w:t>
      </w:r>
    </w:p>
    <w:p w14:paraId="235C76DE" w14:textId="77777777" w:rsidR="00025F9D" w:rsidRPr="00025F9D" w:rsidRDefault="00025F9D" w:rsidP="00025F9D">
      <w:pPr>
        <w:rPr>
          <w:lang w:val="it-IT"/>
        </w:rPr>
      </w:pPr>
    </w:p>
    <w:p w14:paraId="2D48DA8C" w14:textId="77777777" w:rsidR="00025F9D" w:rsidRPr="00025F9D" w:rsidRDefault="00025F9D" w:rsidP="00025F9D">
      <w:pPr>
        <w:rPr>
          <w:lang w:val="it-IT"/>
        </w:rPr>
      </w:pPr>
      <w:r w:rsidRPr="00025F9D">
        <w:rPr>
          <w:lang w:val="it-IT"/>
        </w:rPr>
        <w:t xml:space="preserve">Tenuto conto delle specifiche caratteristiche dei corsi e avendo verificato il fatto che la spesa complessiva rispetta il limite del 50% del budget assegnato la Commissione Paritetica esprime unanime parere positivo. </w:t>
      </w:r>
    </w:p>
    <w:p w14:paraId="5EF4F3AA" w14:textId="77777777" w:rsidR="00025F9D" w:rsidRPr="00025F9D" w:rsidRDefault="00025F9D" w:rsidP="00025F9D">
      <w:pPr>
        <w:rPr>
          <w:lang w:val="it-IT"/>
        </w:rPr>
      </w:pPr>
    </w:p>
    <w:p w14:paraId="572D956F" w14:textId="7634B38C" w:rsidR="00582A24" w:rsidRDefault="00025F9D" w:rsidP="00025F9D">
      <w:pPr>
        <w:rPr>
          <w:lang w:val="it-IT"/>
        </w:rPr>
      </w:pPr>
      <w:r w:rsidRPr="00025F9D">
        <w:rPr>
          <w:lang w:val="it-IT"/>
        </w:rPr>
        <w:t>La CPDS osserva che la documentazione pervenuta è molto scarna e auspica che in futuro venga fornita alla CPDS, insieme al prospetto economico delle richieste, anche una più puntuale motivazione delle richieste.</w:t>
      </w:r>
    </w:p>
    <w:p w14:paraId="0ACA9F31" w14:textId="77777777" w:rsidR="00582A24" w:rsidRDefault="00582A24" w:rsidP="00582A24">
      <w:pPr>
        <w:rPr>
          <w:lang w:val="it-IT"/>
        </w:rPr>
      </w:pPr>
    </w:p>
    <w:p w14:paraId="77645FD2" w14:textId="2425BF6E" w:rsidR="00F72DAA" w:rsidRPr="004F2471" w:rsidRDefault="00C85B7D" w:rsidP="00582A24">
      <w:pPr>
        <w:rPr>
          <w:lang w:val="it-IT"/>
        </w:rPr>
      </w:pPr>
      <w:r w:rsidRPr="004F2471">
        <w:rPr>
          <w:lang w:val="it-IT"/>
        </w:rPr>
        <w:t>...</w:t>
      </w:r>
    </w:p>
    <w:p w14:paraId="60BD0395" w14:textId="77777777" w:rsidR="00F81E81" w:rsidRPr="004F2471" w:rsidRDefault="00F81E81">
      <w:pPr>
        <w:rPr>
          <w:lang w:val="it-IT"/>
        </w:rPr>
      </w:pPr>
    </w:p>
    <w:p w14:paraId="42C4A9DA" w14:textId="77777777" w:rsidR="00FA4090" w:rsidRPr="004F2471" w:rsidRDefault="00FA4090">
      <w:pPr>
        <w:rPr>
          <w:b/>
          <w:i/>
          <w:lang w:val="it-IT"/>
        </w:rPr>
      </w:pPr>
      <w:r w:rsidRPr="004F2471">
        <w:rPr>
          <w:b/>
          <w:i/>
          <w:lang w:val="it-IT"/>
        </w:rPr>
        <w:br w:type="page"/>
      </w:r>
    </w:p>
    <w:p w14:paraId="5B0E8209" w14:textId="4B6D4E17" w:rsidR="00F76C84" w:rsidRPr="004F2471" w:rsidRDefault="00F76C84" w:rsidP="00F76C84">
      <w:pPr>
        <w:rPr>
          <w:b/>
          <w:i/>
          <w:lang w:val="it-IT"/>
        </w:rPr>
      </w:pPr>
      <w:r w:rsidRPr="004F2471">
        <w:rPr>
          <w:b/>
          <w:i/>
          <w:lang w:val="it-IT"/>
        </w:rPr>
        <w:lastRenderedPageBreak/>
        <w:t>Allegato: voci di spesa proposte</w:t>
      </w:r>
    </w:p>
    <w:p w14:paraId="569F83BC" w14:textId="77777777" w:rsidR="00F76C84" w:rsidRPr="004F2471" w:rsidRDefault="00F76C84" w:rsidP="00F76C84">
      <w:pPr>
        <w:rPr>
          <w:lang w:val="it-IT"/>
        </w:rPr>
      </w:pPr>
    </w:p>
    <w:p w14:paraId="408DB5CA" w14:textId="62179AC8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  <w:r w:rsidRPr="004F2471">
        <w:rPr>
          <w:rFonts w:ascii="Helvetica Neue" w:hAnsi="Helvetica Neue" w:cs="Helvetica Neue"/>
          <w:b/>
          <w:bCs/>
          <w:sz w:val="21"/>
          <w:szCs w:val="28"/>
          <w:lang w:val="it-IT"/>
        </w:rPr>
        <w:t>Messaggio pervenuto dalla segreteria didattica (sig.ra Marina Zampollo)</w:t>
      </w:r>
      <w:r w:rsidR="005D5098">
        <w:rPr>
          <w:rFonts w:ascii="Helvetica Neue" w:hAnsi="Helvetica Neue" w:cs="Helvetica Neue"/>
          <w:b/>
          <w:bCs/>
          <w:sz w:val="21"/>
          <w:szCs w:val="28"/>
          <w:lang w:val="it-IT"/>
        </w:rPr>
        <w:t xml:space="preserve"> in data 10/09/2018</w:t>
      </w:r>
      <w:bookmarkStart w:id="0" w:name="_GoBack"/>
      <w:bookmarkEnd w:id="0"/>
    </w:p>
    <w:p w14:paraId="1783CED7" w14:textId="77777777" w:rsidR="00F76C84" w:rsidRPr="004F2471" w:rsidRDefault="00F76C84" w:rsidP="00F76C8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it-IT"/>
        </w:rPr>
      </w:pPr>
    </w:p>
    <w:p w14:paraId="239876E2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Caro Edoardo,</w:t>
      </w:r>
    </w:p>
    <w:p w14:paraId="2B157EA4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come d’accordo ti inoltro (per la CPDS) il prospetto relativo agli incarichi AFC su </w:t>
      </w:r>
      <w:r w:rsidRPr="005D50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it-IT"/>
        </w:rPr>
        <w:t>fondi Studenti.</w:t>
      </w:r>
    </w:p>
    <w:p w14:paraId="72A81871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Gli importi lordi struttura sono ipotizzabili, non certi, in quanto dipendono dalla situazione fiscale di chi avrà l’incarico.</w:t>
      </w:r>
    </w:p>
    <w:p w14:paraId="35BE901A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Per il lordo docente è stata prevista la stessa cifra oraria dell’anno scorso (21 €/h) che corrisponde a circa 27,45 €/h lordo struttura.</w:t>
      </w:r>
    </w:p>
    <w:p w14:paraId="6AAB0265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 </w:t>
      </w:r>
    </w:p>
    <w:p w14:paraId="3D87CB70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Prego Daniela, che ci legge e, alla quale avevo già inviato il prospetto, di confermare la copertura della spesa.</w:t>
      </w:r>
    </w:p>
    <w:p w14:paraId="1D944D00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 </w:t>
      </w:r>
    </w:p>
    <w:p w14:paraId="5D5AAD26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Resto a disposizione e ti saluto cordialmente</w:t>
      </w:r>
    </w:p>
    <w:p w14:paraId="7AB174D3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Marina</w:t>
      </w:r>
    </w:p>
    <w:p w14:paraId="04DBC3AF" w14:textId="77777777" w:rsidR="005D5098" w:rsidRPr="005D5098" w:rsidRDefault="005D5098" w:rsidP="005D5098">
      <w:pPr>
        <w:rPr>
          <w:rFonts w:ascii="Calibri" w:eastAsia="Times New Roman" w:hAnsi="Calibri" w:cs="Calibri"/>
          <w:color w:val="000000"/>
          <w:sz w:val="22"/>
          <w:szCs w:val="22"/>
          <w:lang w:val="it-IT"/>
        </w:rPr>
      </w:pPr>
      <w:r w:rsidRPr="005D5098">
        <w:rPr>
          <w:rFonts w:ascii="Calibri" w:eastAsia="Times New Roman" w:hAnsi="Calibri" w:cs="Calibri"/>
          <w:color w:val="000000"/>
          <w:sz w:val="22"/>
          <w:szCs w:val="22"/>
          <w:lang w:val="it-IT"/>
        </w:rPr>
        <w:t> </w:t>
      </w:r>
    </w:p>
    <w:p w14:paraId="1A694D66" w14:textId="77777777" w:rsidR="000C4937" w:rsidRDefault="000C4937" w:rsidP="000C4937">
      <w:pPr>
        <w:pStyle w:val="default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Times" w:hAnsi="Times" w:cs="Arial"/>
        </w:rPr>
        <w:t>--------------</w:t>
      </w:r>
    </w:p>
    <w:p w14:paraId="5B0CF6A1" w14:textId="77777777" w:rsidR="005D5098" w:rsidRDefault="000C4937" w:rsidP="005D5098">
      <w:pPr>
        <w:pStyle w:val="default"/>
        <w:spacing w:before="0" w:beforeAutospacing="0" w:after="0" w:afterAutospacing="0" w:line="360" w:lineRule="atLeast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Times" w:hAnsi="Times" w:cs="Arial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6"/>
        <w:gridCol w:w="1815"/>
        <w:gridCol w:w="1325"/>
        <w:gridCol w:w="1606"/>
        <w:gridCol w:w="986"/>
        <w:gridCol w:w="1096"/>
      </w:tblGrid>
      <w:tr w:rsidR="005D5098" w14:paraId="76BCC77E" w14:textId="77777777" w:rsidTr="005D5098">
        <w:tc>
          <w:tcPr>
            <w:tcW w:w="2086" w:type="dxa"/>
          </w:tcPr>
          <w:p w14:paraId="1B5E6764" w14:textId="77777777" w:rsidR="005D5098" w:rsidRPr="00105D11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 w:rsidRPr="00105D11">
              <w:rPr>
                <w:b/>
                <w:color w:val="262626"/>
              </w:rPr>
              <w:t>Docente</w:t>
            </w:r>
          </w:p>
        </w:tc>
        <w:tc>
          <w:tcPr>
            <w:tcW w:w="1815" w:type="dxa"/>
          </w:tcPr>
          <w:p w14:paraId="0FB12632" w14:textId="77777777" w:rsidR="005D5098" w:rsidRPr="00105D11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 w:rsidRPr="00105D11">
              <w:rPr>
                <w:b/>
                <w:color w:val="262626"/>
              </w:rPr>
              <w:t>Insegnamento</w:t>
            </w:r>
          </w:p>
        </w:tc>
        <w:tc>
          <w:tcPr>
            <w:tcW w:w="1325" w:type="dxa"/>
          </w:tcPr>
          <w:p w14:paraId="1A130EDA" w14:textId="77777777" w:rsidR="005D5098" w:rsidRPr="00105D11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 w:rsidRPr="00105D11">
              <w:rPr>
                <w:b/>
                <w:color w:val="262626"/>
              </w:rPr>
              <w:t>Ore richieste</w:t>
            </w:r>
          </w:p>
        </w:tc>
        <w:tc>
          <w:tcPr>
            <w:tcW w:w="1606" w:type="dxa"/>
          </w:tcPr>
          <w:p w14:paraId="682D8DFF" w14:textId="77777777" w:rsidR="005D5098" w:rsidRPr="00105D11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 w:rsidRPr="00105D11">
              <w:rPr>
                <w:b/>
                <w:color w:val="262626"/>
              </w:rPr>
              <w:t>Semestre di svolgimento</w:t>
            </w:r>
          </w:p>
        </w:tc>
        <w:tc>
          <w:tcPr>
            <w:tcW w:w="986" w:type="dxa"/>
          </w:tcPr>
          <w:p w14:paraId="36AD5072" w14:textId="77777777" w:rsidR="005D5098" w:rsidRPr="00105D11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Lordo doc.</w:t>
            </w:r>
          </w:p>
        </w:tc>
        <w:tc>
          <w:tcPr>
            <w:tcW w:w="1096" w:type="dxa"/>
          </w:tcPr>
          <w:p w14:paraId="31F3F2F7" w14:textId="77777777" w:rsidR="005D5098" w:rsidRPr="00105D11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Lordo strutt.</w:t>
            </w:r>
          </w:p>
        </w:tc>
      </w:tr>
      <w:tr w:rsidR="005D5098" w14:paraId="6F9F9A41" w14:textId="77777777" w:rsidTr="005D5098">
        <w:tc>
          <w:tcPr>
            <w:tcW w:w="2086" w:type="dxa"/>
          </w:tcPr>
          <w:p w14:paraId="433E1DD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BRESSAN</w:t>
            </w:r>
          </w:p>
        </w:tc>
        <w:tc>
          <w:tcPr>
            <w:tcW w:w="1815" w:type="dxa"/>
          </w:tcPr>
          <w:p w14:paraId="410B9EB1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Laboratorio I</w:t>
            </w:r>
          </w:p>
        </w:tc>
        <w:tc>
          <w:tcPr>
            <w:tcW w:w="1325" w:type="dxa"/>
          </w:tcPr>
          <w:p w14:paraId="75D3C11E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80</w:t>
            </w:r>
          </w:p>
        </w:tc>
        <w:tc>
          <w:tcPr>
            <w:tcW w:w="1606" w:type="dxa"/>
          </w:tcPr>
          <w:p w14:paraId="57A48D6A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II</w:t>
            </w:r>
          </w:p>
        </w:tc>
        <w:tc>
          <w:tcPr>
            <w:tcW w:w="986" w:type="dxa"/>
          </w:tcPr>
          <w:p w14:paraId="5ED1FC8A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1.680,00</w:t>
            </w:r>
          </w:p>
        </w:tc>
        <w:tc>
          <w:tcPr>
            <w:tcW w:w="1096" w:type="dxa"/>
          </w:tcPr>
          <w:p w14:paraId="38D21C9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2.196,00</w:t>
            </w:r>
          </w:p>
        </w:tc>
      </w:tr>
      <w:tr w:rsidR="005D5098" w14:paraId="78F51C81" w14:textId="77777777" w:rsidTr="005D5098">
        <w:tc>
          <w:tcPr>
            <w:tcW w:w="2086" w:type="dxa"/>
          </w:tcPr>
          <w:p w14:paraId="58EDA1CE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GIRARDI</w:t>
            </w:r>
          </w:p>
        </w:tc>
        <w:tc>
          <w:tcPr>
            <w:tcW w:w="1815" w:type="dxa"/>
          </w:tcPr>
          <w:p w14:paraId="2F652EC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Laboratorio di tecnologie astronomiche</w:t>
            </w:r>
          </w:p>
        </w:tc>
        <w:tc>
          <w:tcPr>
            <w:tcW w:w="1325" w:type="dxa"/>
          </w:tcPr>
          <w:p w14:paraId="57C08B6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15</w:t>
            </w:r>
          </w:p>
        </w:tc>
        <w:tc>
          <w:tcPr>
            <w:tcW w:w="1606" w:type="dxa"/>
          </w:tcPr>
          <w:p w14:paraId="10B15CC5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II</w:t>
            </w:r>
          </w:p>
        </w:tc>
        <w:tc>
          <w:tcPr>
            <w:tcW w:w="986" w:type="dxa"/>
          </w:tcPr>
          <w:p w14:paraId="7F409D52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6CE055FC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315,00</w:t>
            </w:r>
          </w:p>
        </w:tc>
        <w:tc>
          <w:tcPr>
            <w:tcW w:w="1096" w:type="dxa"/>
          </w:tcPr>
          <w:p w14:paraId="754FA6D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0BC0A7E1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411,75</w:t>
            </w:r>
          </w:p>
        </w:tc>
      </w:tr>
      <w:tr w:rsidR="005D5098" w14:paraId="0AF813A5" w14:textId="77777777" w:rsidTr="005D5098">
        <w:tc>
          <w:tcPr>
            <w:tcW w:w="2086" w:type="dxa"/>
          </w:tcPr>
          <w:p w14:paraId="6E5382C9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MARGAGLIOTTI</w:t>
            </w:r>
          </w:p>
        </w:tc>
        <w:tc>
          <w:tcPr>
            <w:tcW w:w="1815" w:type="dxa"/>
          </w:tcPr>
          <w:p w14:paraId="14CD580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Laboratorio II</w:t>
            </w:r>
          </w:p>
        </w:tc>
        <w:tc>
          <w:tcPr>
            <w:tcW w:w="1325" w:type="dxa"/>
          </w:tcPr>
          <w:p w14:paraId="24B6B386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42</w:t>
            </w:r>
          </w:p>
        </w:tc>
        <w:tc>
          <w:tcPr>
            <w:tcW w:w="1606" w:type="dxa"/>
          </w:tcPr>
          <w:p w14:paraId="1011F14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</w:t>
            </w:r>
          </w:p>
        </w:tc>
        <w:tc>
          <w:tcPr>
            <w:tcW w:w="986" w:type="dxa"/>
          </w:tcPr>
          <w:p w14:paraId="1B60E85D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882,00</w:t>
            </w:r>
          </w:p>
        </w:tc>
        <w:tc>
          <w:tcPr>
            <w:tcW w:w="1096" w:type="dxa"/>
          </w:tcPr>
          <w:p w14:paraId="6FBEEF8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1.152,90</w:t>
            </w:r>
          </w:p>
        </w:tc>
      </w:tr>
      <w:tr w:rsidR="005D5098" w14:paraId="1DF87C66" w14:textId="77777777" w:rsidTr="005D5098">
        <w:tc>
          <w:tcPr>
            <w:tcW w:w="2086" w:type="dxa"/>
          </w:tcPr>
          <w:p w14:paraId="6A164F52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MARTIN</w:t>
            </w:r>
          </w:p>
        </w:tc>
        <w:tc>
          <w:tcPr>
            <w:tcW w:w="1815" w:type="dxa"/>
          </w:tcPr>
          <w:p w14:paraId="74EDE756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Laboratorio II</w:t>
            </w:r>
          </w:p>
        </w:tc>
        <w:tc>
          <w:tcPr>
            <w:tcW w:w="1325" w:type="dxa"/>
          </w:tcPr>
          <w:p w14:paraId="65D0B352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80</w:t>
            </w:r>
          </w:p>
        </w:tc>
        <w:tc>
          <w:tcPr>
            <w:tcW w:w="1606" w:type="dxa"/>
          </w:tcPr>
          <w:p w14:paraId="127C2BF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</w:t>
            </w:r>
          </w:p>
        </w:tc>
        <w:tc>
          <w:tcPr>
            <w:tcW w:w="986" w:type="dxa"/>
          </w:tcPr>
          <w:p w14:paraId="40AFF1D5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1.680,00</w:t>
            </w:r>
          </w:p>
        </w:tc>
        <w:tc>
          <w:tcPr>
            <w:tcW w:w="1096" w:type="dxa"/>
          </w:tcPr>
          <w:p w14:paraId="38DD5451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2.196,00</w:t>
            </w:r>
          </w:p>
        </w:tc>
      </w:tr>
      <w:tr w:rsidR="005D5098" w14:paraId="749496B6" w14:textId="77777777" w:rsidTr="005D5098">
        <w:tc>
          <w:tcPr>
            <w:tcW w:w="2086" w:type="dxa"/>
          </w:tcPr>
          <w:p w14:paraId="60C907C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GREGORIO</w:t>
            </w:r>
          </w:p>
        </w:tc>
        <w:tc>
          <w:tcPr>
            <w:tcW w:w="1815" w:type="dxa"/>
          </w:tcPr>
          <w:p w14:paraId="1B3C5C6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Laboratorio di astrofisica spaziale</w:t>
            </w:r>
          </w:p>
        </w:tc>
        <w:tc>
          <w:tcPr>
            <w:tcW w:w="1325" w:type="dxa"/>
          </w:tcPr>
          <w:p w14:paraId="75B084BF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24</w:t>
            </w:r>
          </w:p>
        </w:tc>
        <w:tc>
          <w:tcPr>
            <w:tcW w:w="1606" w:type="dxa"/>
          </w:tcPr>
          <w:p w14:paraId="0FE1843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</w:t>
            </w:r>
          </w:p>
        </w:tc>
        <w:tc>
          <w:tcPr>
            <w:tcW w:w="986" w:type="dxa"/>
          </w:tcPr>
          <w:p w14:paraId="599A943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1A33DD9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504,00</w:t>
            </w:r>
          </w:p>
        </w:tc>
        <w:tc>
          <w:tcPr>
            <w:tcW w:w="1096" w:type="dxa"/>
          </w:tcPr>
          <w:p w14:paraId="52C8AFC3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780BB7BC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658,80</w:t>
            </w:r>
          </w:p>
        </w:tc>
      </w:tr>
      <w:tr w:rsidR="005D5098" w14:paraId="1F961F45" w14:textId="77777777" w:rsidTr="005D5098">
        <w:tc>
          <w:tcPr>
            <w:tcW w:w="2086" w:type="dxa"/>
          </w:tcPr>
          <w:p w14:paraId="0366C83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PARMIGIANI</w:t>
            </w:r>
          </w:p>
        </w:tc>
        <w:tc>
          <w:tcPr>
            <w:tcW w:w="1815" w:type="dxa"/>
          </w:tcPr>
          <w:p w14:paraId="191BC8D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Fondamenti di elettrodinamica</w:t>
            </w:r>
          </w:p>
        </w:tc>
        <w:tc>
          <w:tcPr>
            <w:tcW w:w="1325" w:type="dxa"/>
          </w:tcPr>
          <w:p w14:paraId="59F39D71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30</w:t>
            </w:r>
          </w:p>
        </w:tc>
        <w:tc>
          <w:tcPr>
            <w:tcW w:w="1606" w:type="dxa"/>
          </w:tcPr>
          <w:p w14:paraId="71EBD5A2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II</w:t>
            </w:r>
          </w:p>
        </w:tc>
        <w:tc>
          <w:tcPr>
            <w:tcW w:w="986" w:type="dxa"/>
          </w:tcPr>
          <w:p w14:paraId="7F6FA30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630,00</w:t>
            </w:r>
          </w:p>
        </w:tc>
        <w:tc>
          <w:tcPr>
            <w:tcW w:w="1096" w:type="dxa"/>
          </w:tcPr>
          <w:p w14:paraId="78CE5B6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823,50</w:t>
            </w:r>
          </w:p>
        </w:tc>
      </w:tr>
      <w:tr w:rsidR="005D5098" w14:paraId="78239CBC" w14:textId="77777777" w:rsidTr="005D5098">
        <w:tc>
          <w:tcPr>
            <w:tcW w:w="2086" w:type="dxa"/>
          </w:tcPr>
          <w:p w14:paraId="5D3A563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PASTORE</w:t>
            </w:r>
          </w:p>
        </w:tc>
        <w:tc>
          <w:tcPr>
            <w:tcW w:w="1815" w:type="dxa"/>
          </w:tcPr>
          <w:p w14:paraId="220B102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Laboratorio di Calcolo</w:t>
            </w:r>
          </w:p>
        </w:tc>
        <w:tc>
          <w:tcPr>
            <w:tcW w:w="1325" w:type="dxa"/>
          </w:tcPr>
          <w:p w14:paraId="1D780954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80</w:t>
            </w:r>
          </w:p>
        </w:tc>
        <w:tc>
          <w:tcPr>
            <w:tcW w:w="1606" w:type="dxa"/>
          </w:tcPr>
          <w:p w14:paraId="210AAED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II</w:t>
            </w:r>
          </w:p>
        </w:tc>
        <w:tc>
          <w:tcPr>
            <w:tcW w:w="986" w:type="dxa"/>
          </w:tcPr>
          <w:p w14:paraId="31E220FC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1.680,00</w:t>
            </w:r>
          </w:p>
        </w:tc>
        <w:tc>
          <w:tcPr>
            <w:tcW w:w="1096" w:type="dxa"/>
          </w:tcPr>
          <w:p w14:paraId="4B1823D6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2.196,00</w:t>
            </w:r>
          </w:p>
        </w:tc>
      </w:tr>
      <w:tr w:rsidR="005D5098" w14:paraId="667DF995" w14:textId="77777777" w:rsidTr="005D5098">
        <w:tc>
          <w:tcPr>
            <w:tcW w:w="2086" w:type="dxa"/>
          </w:tcPr>
          <w:p w14:paraId="0940C9E4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MODESTI</w:t>
            </w:r>
          </w:p>
        </w:tc>
        <w:tc>
          <w:tcPr>
            <w:tcW w:w="1815" w:type="dxa"/>
          </w:tcPr>
          <w:p w14:paraId="158DF165" w14:textId="77777777" w:rsidR="005D5098" w:rsidRPr="005D5098" w:rsidRDefault="005D5098" w:rsidP="002F7213">
            <w:pPr>
              <w:autoSpaceDE w:val="0"/>
              <w:autoSpaceDN w:val="0"/>
              <w:jc w:val="center"/>
              <w:rPr>
                <w:color w:val="262626"/>
                <w:lang w:val="it-IT"/>
              </w:rPr>
            </w:pPr>
            <w:r w:rsidRPr="005D5098">
              <w:rPr>
                <w:color w:val="262626"/>
                <w:lang w:val="it-IT"/>
              </w:rPr>
              <w:t>Laboratorio di Fisica dello stato solido</w:t>
            </w:r>
          </w:p>
        </w:tc>
        <w:tc>
          <w:tcPr>
            <w:tcW w:w="1325" w:type="dxa"/>
          </w:tcPr>
          <w:p w14:paraId="017260B3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50</w:t>
            </w:r>
          </w:p>
        </w:tc>
        <w:tc>
          <w:tcPr>
            <w:tcW w:w="1606" w:type="dxa"/>
          </w:tcPr>
          <w:p w14:paraId="1BF45E9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</w:t>
            </w:r>
          </w:p>
        </w:tc>
        <w:tc>
          <w:tcPr>
            <w:tcW w:w="986" w:type="dxa"/>
          </w:tcPr>
          <w:p w14:paraId="08DC824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0E7D7841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1.050,00</w:t>
            </w:r>
          </w:p>
        </w:tc>
        <w:tc>
          <w:tcPr>
            <w:tcW w:w="1096" w:type="dxa"/>
          </w:tcPr>
          <w:p w14:paraId="7E7B0AC5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5159361E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1.372,50</w:t>
            </w:r>
          </w:p>
        </w:tc>
      </w:tr>
      <w:tr w:rsidR="005D5098" w14:paraId="2B0F9E15" w14:textId="77777777" w:rsidTr="005D5098">
        <w:tc>
          <w:tcPr>
            <w:tcW w:w="2086" w:type="dxa"/>
          </w:tcPr>
          <w:p w14:paraId="09DCBD6C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FAUSTI</w:t>
            </w:r>
          </w:p>
        </w:tc>
        <w:tc>
          <w:tcPr>
            <w:tcW w:w="1815" w:type="dxa"/>
          </w:tcPr>
          <w:p w14:paraId="745B881C" w14:textId="77777777" w:rsidR="005D5098" w:rsidRPr="005D5098" w:rsidRDefault="005D5098" w:rsidP="002F7213">
            <w:pPr>
              <w:autoSpaceDE w:val="0"/>
              <w:autoSpaceDN w:val="0"/>
              <w:jc w:val="center"/>
              <w:rPr>
                <w:color w:val="262626"/>
                <w:lang w:val="it-IT"/>
              </w:rPr>
            </w:pPr>
            <w:r w:rsidRPr="005D5098">
              <w:rPr>
                <w:color w:val="262626"/>
                <w:lang w:val="it-IT"/>
              </w:rPr>
              <w:t>Introduzione alla Fisica della Materia</w:t>
            </w:r>
          </w:p>
        </w:tc>
        <w:tc>
          <w:tcPr>
            <w:tcW w:w="1325" w:type="dxa"/>
          </w:tcPr>
          <w:p w14:paraId="76819CFE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8</w:t>
            </w:r>
          </w:p>
        </w:tc>
        <w:tc>
          <w:tcPr>
            <w:tcW w:w="1606" w:type="dxa"/>
          </w:tcPr>
          <w:p w14:paraId="6570C22B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II</w:t>
            </w:r>
          </w:p>
        </w:tc>
        <w:tc>
          <w:tcPr>
            <w:tcW w:w="986" w:type="dxa"/>
          </w:tcPr>
          <w:p w14:paraId="31D5DC3D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746EEA39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168,00</w:t>
            </w:r>
          </w:p>
        </w:tc>
        <w:tc>
          <w:tcPr>
            <w:tcW w:w="1096" w:type="dxa"/>
          </w:tcPr>
          <w:p w14:paraId="5E1C734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  <w:p w14:paraId="047F84A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219,60</w:t>
            </w:r>
          </w:p>
        </w:tc>
      </w:tr>
      <w:tr w:rsidR="005D5098" w14:paraId="643635A7" w14:textId="77777777" w:rsidTr="005D5098">
        <w:tc>
          <w:tcPr>
            <w:tcW w:w="2086" w:type="dxa"/>
          </w:tcPr>
          <w:p w14:paraId="113048B3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SENATORE</w:t>
            </w:r>
          </w:p>
        </w:tc>
        <w:tc>
          <w:tcPr>
            <w:tcW w:w="1815" w:type="dxa"/>
          </w:tcPr>
          <w:p w14:paraId="0461AFEE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Fisica statistica</w:t>
            </w:r>
          </w:p>
        </w:tc>
        <w:tc>
          <w:tcPr>
            <w:tcW w:w="1325" w:type="dxa"/>
          </w:tcPr>
          <w:p w14:paraId="32A6FA14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12</w:t>
            </w:r>
          </w:p>
        </w:tc>
        <w:tc>
          <w:tcPr>
            <w:tcW w:w="1606" w:type="dxa"/>
          </w:tcPr>
          <w:p w14:paraId="4AD4A915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I</w:t>
            </w:r>
          </w:p>
        </w:tc>
        <w:tc>
          <w:tcPr>
            <w:tcW w:w="986" w:type="dxa"/>
          </w:tcPr>
          <w:p w14:paraId="5B675FF9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252,00</w:t>
            </w:r>
          </w:p>
        </w:tc>
        <w:tc>
          <w:tcPr>
            <w:tcW w:w="1096" w:type="dxa"/>
          </w:tcPr>
          <w:p w14:paraId="27D9A90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329,40</w:t>
            </w:r>
          </w:p>
        </w:tc>
      </w:tr>
      <w:tr w:rsidR="005D5098" w14:paraId="2EE5B6BF" w14:textId="77777777" w:rsidTr="005D5098">
        <w:tc>
          <w:tcPr>
            <w:tcW w:w="2086" w:type="dxa"/>
          </w:tcPr>
          <w:p w14:paraId="0EB525C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1815" w:type="dxa"/>
          </w:tcPr>
          <w:p w14:paraId="5677228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1325" w:type="dxa"/>
          </w:tcPr>
          <w:p w14:paraId="337469B7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1606" w:type="dxa"/>
          </w:tcPr>
          <w:p w14:paraId="14084EB3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986" w:type="dxa"/>
          </w:tcPr>
          <w:p w14:paraId="1DBFEBDE" w14:textId="77777777" w:rsidR="005D5098" w:rsidRPr="00631A65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8.841,</w:t>
            </w:r>
            <w:r w:rsidRPr="00631A65">
              <w:rPr>
                <w:b/>
                <w:color w:val="262626"/>
              </w:rPr>
              <w:t>00</w:t>
            </w:r>
          </w:p>
        </w:tc>
        <w:tc>
          <w:tcPr>
            <w:tcW w:w="1096" w:type="dxa"/>
          </w:tcPr>
          <w:p w14:paraId="66C85805" w14:textId="77777777" w:rsidR="005D5098" w:rsidRPr="00631A65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  <w:r w:rsidRPr="00631A65">
              <w:rPr>
                <w:b/>
                <w:color w:val="262626"/>
              </w:rPr>
              <w:t>11.556,</w:t>
            </w:r>
            <w:r>
              <w:rPr>
                <w:b/>
                <w:color w:val="262626"/>
              </w:rPr>
              <w:t>45</w:t>
            </w:r>
          </w:p>
        </w:tc>
      </w:tr>
      <w:tr w:rsidR="005D5098" w14:paraId="6A07551F" w14:textId="77777777" w:rsidTr="005D5098">
        <w:tc>
          <w:tcPr>
            <w:tcW w:w="2086" w:type="dxa"/>
          </w:tcPr>
          <w:p w14:paraId="3DA08BB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1815" w:type="dxa"/>
          </w:tcPr>
          <w:p w14:paraId="531BB1A8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1325" w:type="dxa"/>
          </w:tcPr>
          <w:p w14:paraId="687B6840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1606" w:type="dxa"/>
          </w:tcPr>
          <w:p w14:paraId="615B4081" w14:textId="77777777" w:rsidR="005D5098" w:rsidRDefault="005D5098" w:rsidP="002F7213">
            <w:pPr>
              <w:autoSpaceDE w:val="0"/>
              <w:autoSpaceDN w:val="0"/>
              <w:jc w:val="center"/>
              <w:rPr>
                <w:color w:val="262626"/>
              </w:rPr>
            </w:pPr>
          </w:p>
        </w:tc>
        <w:tc>
          <w:tcPr>
            <w:tcW w:w="986" w:type="dxa"/>
          </w:tcPr>
          <w:p w14:paraId="04C68C3A" w14:textId="77777777" w:rsidR="005D5098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</w:p>
        </w:tc>
        <w:tc>
          <w:tcPr>
            <w:tcW w:w="1096" w:type="dxa"/>
          </w:tcPr>
          <w:p w14:paraId="4FFE4E1C" w14:textId="77777777" w:rsidR="005D5098" w:rsidRPr="00631A65" w:rsidRDefault="005D5098" w:rsidP="002F7213">
            <w:pPr>
              <w:autoSpaceDE w:val="0"/>
              <w:autoSpaceDN w:val="0"/>
              <w:jc w:val="center"/>
              <w:rPr>
                <w:b/>
                <w:color w:val="262626"/>
              </w:rPr>
            </w:pPr>
          </w:p>
        </w:tc>
      </w:tr>
    </w:tbl>
    <w:p w14:paraId="36597502" w14:textId="77777777" w:rsidR="005D5098" w:rsidRDefault="005D5098" w:rsidP="005D5098">
      <w:pPr>
        <w:autoSpaceDE w:val="0"/>
        <w:autoSpaceDN w:val="0"/>
        <w:rPr>
          <w:color w:val="262626"/>
        </w:rPr>
      </w:pPr>
    </w:p>
    <w:p w14:paraId="20EA930A" w14:textId="77777777" w:rsidR="005D5098" w:rsidRDefault="005D5098" w:rsidP="005D5098"/>
    <w:p w14:paraId="5AECD9D3" w14:textId="3949B0B6" w:rsidR="000C4937" w:rsidRDefault="000C4937" w:rsidP="005D5098">
      <w:pPr>
        <w:pStyle w:val="default"/>
        <w:spacing w:before="0" w:beforeAutospacing="0" w:after="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------------</w:t>
      </w:r>
    </w:p>
    <w:p w14:paraId="0D6FC7F3" w14:textId="2E10F187" w:rsidR="00FA4090" w:rsidRPr="005750A2" w:rsidRDefault="00FA4090" w:rsidP="000C4937">
      <w:pPr>
        <w:rPr>
          <w:sz w:val="20"/>
          <w:lang w:val="it-IT"/>
        </w:rPr>
      </w:pPr>
    </w:p>
    <w:sectPr w:rsidR="00FA4090" w:rsidRPr="005750A2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81"/>
    <w:rsid w:val="00025F9D"/>
    <w:rsid w:val="000A15F1"/>
    <w:rsid w:val="000C4937"/>
    <w:rsid w:val="00156183"/>
    <w:rsid w:val="00162284"/>
    <w:rsid w:val="002738FB"/>
    <w:rsid w:val="00301B32"/>
    <w:rsid w:val="0034448C"/>
    <w:rsid w:val="00370788"/>
    <w:rsid w:val="004F2471"/>
    <w:rsid w:val="0050333E"/>
    <w:rsid w:val="005750A2"/>
    <w:rsid w:val="00582A24"/>
    <w:rsid w:val="005D5098"/>
    <w:rsid w:val="006B19DD"/>
    <w:rsid w:val="006D5B76"/>
    <w:rsid w:val="008D4BB1"/>
    <w:rsid w:val="00A750C1"/>
    <w:rsid w:val="00B05BFC"/>
    <w:rsid w:val="00C34479"/>
    <w:rsid w:val="00C85B7D"/>
    <w:rsid w:val="00DF2DF3"/>
    <w:rsid w:val="00E13432"/>
    <w:rsid w:val="00E32193"/>
    <w:rsid w:val="00F06555"/>
    <w:rsid w:val="00F76C84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0A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37"/>
  </w:style>
  <w:style w:type="paragraph" w:customStyle="1" w:styleId="default">
    <w:name w:val="default"/>
    <w:basedOn w:val="Normal"/>
    <w:rsid w:val="000C49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D5098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3</cp:revision>
  <cp:lastPrinted>2017-02-02T14:03:00Z</cp:lastPrinted>
  <dcterms:created xsi:type="dcterms:W3CDTF">2018-09-14T09:40:00Z</dcterms:created>
  <dcterms:modified xsi:type="dcterms:W3CDTF">2018-09-14T12:09:00Z</dcterms:modified>
</cp:coreProperties>
</file>